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E6" w:rsidRPr="00F312E6" w:rsidRDefault="00F312E6" w:rsidP="00F312E6">
      <w:pPr>
        <w:tabs>
          <w:tab w:val="left" w:pos="6663"/>
        </w:tabs>
        <w:autoSpaceDE w:val="0"/>
        <w:autoSpaceDN w:val="0"/>
        <w:snapToGrid w:val="0"/>
        <w:spacing w:after="680" w:line="3180" w:lineRule="atLeast"/>
        <w:ind w:left="227" w:right="227"/>
        <w:jc w:val="center"/>
        <w:rPr>
          <w:rFonts w:ascii="仿宋_GB2312" w:eastAsia="仿宋_GB2312" w:hAnsi="Times New Roman" w:cs="Times New Roman"/>
          <w:bCs/>
          <w:snapToGrid w:val="0"/>
          <w:color w:val="FFFFFF"/>
          <w:spacing w:val="113"/>
          <w:w w:val="56"/>
          <w:kern w:val="13"/>
          <w:sz w:val="122"/>
          <w:szCs w:val="122"/>
        </w:rPr>
      </w:pPr>
      <w:r w:rsidRPr="00F312E6">
        <w:rPr>
          <w:rFonts w:ascii="方正大标宋简体" w:eastAsia="方正大标宋简体" w:hAnsi="方正大标宋简体" w:cs="方正大标宋简体" w:hint="eastAsia"/>
          <w:bCs/>
          <w:snapToGrid w:val="0"/>
          <w:color w:val="FF0000"/>
          <w:spacing w:val="28"/>
          <w:w w:val="70"/>
          <w:kern w:val="0"/>
          <w:sz w:val="122"/>
          <w:szCs w:val="122"/>
        </w:rPr>
        <w:t>泰州学院保卫处文件</w:t>
      </w:r>
    </w:p>
    <w:p w:rsidR="00F312E6" w:rsidRPr="00F312E6" w:rsidRDefault="00F312E6" w:rsidP="00F312E6">
      <w:pPr>
        <w:tabs>
          <w:tab w:val="right" w:pos="8505"/>
        </w:tabs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F312E6">
        <w:rPr>
          <w:rFonts w:ascii="仿宋_GB2312" w:eastAsia="仿宋_GB2312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95E2607" wp14:editId="3BE5C53E">
            <wp:simplePos x="0" y="0"/>
            <wp:positionH relativeFrom="column">
              <wp:posOffset>-175895</wp:posOffset>
            </wp:positionH>
            <wp:positionV relativeFrom="paragraph">
              <wp:posOffset>368300</wp:posOffset>
            </wp:positionV>
            <wp:extent cx="5903595" cy="90170"/>
            <wp:effectExtent l="0" t="0" r="1905" b="5080"/>
            <wp:wrapNone/>
            <wp:docPr id="3" name="图片 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9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F312E6">
        <w:rPr>
          <w:rFonts w:ascii="仿宋_GB2312" w:eastAsia="仿宋_GB2312" w:hAnsi="Times New Roman" w:cs="Times New Roman" w:hint="eastAsia"/>
          <w:sz w:val="32"/>
          <w:szCs w:val="32"/>
        </w:rPr>
        <w:t>泰院保发</w:t>
      </w:r>
      <w:proofErr w:type="gramEnd"/>
      <w:r w:rsidRPr="00F312E6">
        <w:rPr>
          <w:rFonts w:ascii="仿宋_GB2312" w:eastAsia="仿宋_GB2312" w:hAnsi="Times New Roman" w:cs="Times New Roman" w:hint="eastAsia"/>
          <w:sz w:val="32"/>
          <w:szCs w:val="32"/>
        </w:rPr>
        <w:t>［2020］</w:t>
      </w:r>
      <w:r w:rsidR="0061360C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F312E6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F312E6" w:rsidRPr="00F312E6" w:rsidRDefault="00F312E6" w:rsidP="00F312E6">
      <w:pPr>
        <w:tabs>
          <w:tab w:val="right" w:pos="8505"/>
        </w:tabs>
        <w:spacing w:line="24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F312E6" w:rsidRPr="00F312E6" w:rsidRDefault="00F312E6" w:rsidP="00F312E6">
      <w:pPr>
        <w:spacing w:line="240" w:lineRule="exact"/>
        <w:jc w:val="center"/>
        <w:rPr>
          <w:rFonts w:ascii="华康简标题宋" w:eastAsia="华康简标题宋" w:hAnsi="Times New Roman" w:cs="Times New Roman"/>
          <w:sz w:val="44"/>
          <w:szCs w:val="44"/>
        </w:rPr>
      </w:pPr>
    </w:p>
    <w:p w:rsidR="00F312E6" w:rsidRPr="00F312E6" w:rsidRDefault="00F312E6" w:rsidP="00F312E6">
      <w:pPr>
        <w:spacing w:line="240" w:lineRule="exact"/>
        <w:jc w:val="center"/>
        <w:rPr>
          <w:rFonts w:ascii="华康简标题宋" w:eastAsia="华康简标题宋" w:hAnsi="Times New Roman" w:cs="Times New Roman"/>
          <w:sz w:val="44"/>
          <w:szCs w:val="44"/>
        </w:rPr>
      </w:pPr>
    </w:p>
    <w:p w:rsidR="005E2D0A" w:rsidRDefault="005E2D0A" w:rsidP="005E2D0A">
      <w:pPr>
        <w:spacing w:line="560" w:lineRule="exact"/>
        <w:jc w:val="center"/>
        <w:rPr>
          <w:rFonts w:ascii="华康简标题宋" w:eastAsia="华康简标题宋" w:hAnsi="宋体" w:cs="Times New Roman"/>
          <w:bCs/>
          <w:sz w:val="44"/>
          <w:szCs w:val="44"/>
        </w:rPr>
      </w:pPr>
      <w:r w:rsidRPr="005E2D0A">
        <w:rPr>
          <w:rFonts w:ascii="华康简标题宋" w:eastAsia="华康简标题宋" w:hAnsi="宋体" w:cs="Times New Roman" w:hint="eastAsia"/>
          <w:bCs/>
          <w:sz w:val="44"/>
          <w:szCs w:val="44"/>
        </w:rPr>
        <w:t>关于使用“校园安全通”开展</w:t>
      </w:r>
    </w:p>
    <w:p w:rsidR="005E2D0A" w:rsidRPr="005E2D0A" w:rsidRDefault="005E2D0A" w:rsidP="005E2D0A">
      <w:pPr>
        <w:spacing w:line="560" w:lineRule="exact"/>
        <w:jc w:val="center"/>
        <w:rPr>
          <w:rFonts w:ascii="华康简标题宋" w:eastAsia="华康简标题宋" w:hAnsi="宋体" w:cs="Times New Roman"/>
          <w:bCs/>
          <w:sz w:val="44"/>
          <w:szCs w:val="44"/>
        </w:rPr>
      </w:pPr>
      <w:r w:rsidRPr="005E2D0A">
        <w:rPr>
          <w:rFonts w:ascii="华康简标题宋" w:eastAsia="华康简标题宋" w:hAnsi="宋体" w:cs="Times New Roman" w:hint="eastAsia"/>
          <w:bCs/>
          <w:sz w:val="44"/>
          <w:szCs w:val="44"/>
        </w:rPr>
        <w:t>线上安全教育的通知</w:t>
      </w:r>
    </w:p>
    <w:p w:rsidR="005E2D0A" w:rsidRDefault="005E2D0A" w:rsidP="005E2D0A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5E2D0A" w:rsidRDefault="005E2D0A" w:rsidP="005E2D0A">
      <w:pPr>
        <w:spacing w:line="52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5E2D0A">
        <w:rPr>
          <w:rFonts w:ascii="仿宋_GB2312" w:eastAsia="仿宋_GB2312" w:hAnsi="宋体" w:cs="Times New Roman" w:hint="eastAsia"/>
          <w:sz w:val="32"/>
          <w:szCs w:val="32"/>
        </w:rPr>
        <w:t>各二级学院：</w:t>
      </w:r>
    </w:p>
    <w:p w:rsidR="00F312E6" w:rsidRPr="00F312E6" w:rsidRDefault="005E2D0A" w:rsidP="005E2D0A">
      <w:pPr>
        <w:spacing w:line="52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E2D0A">
        <w:rPr>
          <w:rFonts w:ascii="仿宋_GB2312" w:eastAsia="仿宋_GB2312" w:hAnsi="宋体" w:cs="Times New Roman" w:hint="eastAsia"/>
          <w:sz w:val="32"/>
          <w:szCs w:val="32"/>
        </w:rPr>
        <w:t>为做好新冠疫情常态化防控工作，进一步提高学生安全意识和防范能力，降低可预防性案事件发生率，提高全体师生安全感和满意度，为学校本科教学工作合格评估营造安全稳定校园环境，经研究，本学期学生安全教育方式主要采取“校园安全通”进行线上安全教育，现将有关事项通知如下：</w:t>
      </w:r>
      <w:r w:rsidR="00F312E6" w:rsidRPr="00F312E6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</w:p>
    <w:p w:rsidR="005E2D0A" w:rsidRPr="005E2D0A" w:rsidRDefault="005E2D0A" w:rsidP="005E2D0A">
      <w:pPr>
        <w:spacing w:line="520" w:lineRule="exact"/>
        <w:ind w:firstLine="600"/>
        <w:rPr>
          <w:rFonts w:ascii="黑体" w:eastAsia="黑体" w:hAnsi="黑体" w:cs="Times New Roman"/>
          <w:sz w:val="32"/>
          <w:szCs w:val="32"/>
        </w:rPr>
      </w:pPr>
      <w:r w:rsidRPr="005E2D0A">
        <w:rPr>
          <w:rFonts w:ascii="黑体" w:eastAsia="黑体" w:hAnsi="黑体" w:cs="Times New Roman"/>
          <w:sz w:val="32"/>
          <w:szCs w:val="32"/>
        </w:rPr>
        <w:t>一</w:t>
      </w:r>
      <w:r w:rsidRPr="005E2D0A">
        <w:rPr>
          <w:rFonts w:ascii="黑体" w:eastAsia="黑体" w:hAnsi="黑体" w:cs="Times New Roman" w:hint="eastAsia"/>
          <w:sz w:val="32"/>
          <w:szCs w:val="32"/>
        </w:rPr>
        <w:t>、</w:t>
      </w:r>
      <w:r w:rsidRPr="005E2D0A">
        <w:rPr>
          <w:rFonts w:ascii="黑体" w:eastAsia="黑体" w:hAnsi="黑体" w:cs="Times New Roman"/>
          <w:sz w:val="32"/>
          <w:szCs w:val="32"/>
        </w:rPr>
        <w:t>学习时间</w:t>
      </w:r>
    </w:p>
    <w:p w:rsidR="005E2D0A" w:rsidRPr="005E2D0A" w:rsidRDefault="005E2D0A" w:rsidP="005E2D0A">
      <w:pPr>
        <w:spacing w:line="520" w:lineRule="exact"/>
        <w:ind w:firstLine="600"/>
        <w:rPr>
          <w:rFonts w:ascii="仿宋_GB2312" w:eastAsia="仿宋_GB2312" w:hAnsi="宋体" w:cs="Times New Roman"/>
          <w:sz w:val="32"/>
          <w:szCs w:val="32"/>
        </w:rPr>
      </w:pPr>
      <w:r w:rsidRPr="005E2D0A">
        <w:rPr>
          <w:rFonts w:ascii="仿宋_GB2312" w:eastAsia="仿宋_GB2312" w:hAnsi="宋体" w:cs="Times New Roman" w:hint="eastAsia"/>
          <w:sz w:val="32"/>
          <w:szCs w:val="32"/>
        </w:rPr>
        <w:t>2020年9月上旬至2020年11月中旬</w:t>
      </w:r>
    </w:p>
    <w:p w:rsidR="005E2D0A" w:rsidRPr="005E2D0A" w:rsidRDefault="005E2D0A" w:rsidP="005E2D0A">
      <w:pPr>
        <w:spacing w:line="520" w:lineRule="exact"/>
        <w:ind w:firstLine="600"/>
        <w:rPr>
          <w:rFonts w:ascii="黑体" w:eastAsia="黑体" w:hAnsi="黑体" w:cs="Times New Roman"/>
          <w:sz w:val="32"/>
          <w:szCs w:val="32"/>
        </w:rPr>
      </w:pPr>
      <w:r w:rsidRPr="005E2D0A">
        <w:rPr>
          <w:rFonts w:ascii="黑体" w:eastAsia="黑体" w:hAnsi="黑体" w:cs="Times New Roman" w:hint="eastAsia"/>
          <w:sz w:val="32"/>
          <w:szCs w:val="32"/>
        </w:rPr>
        <w:t>二、学习内容</w:t>
      </w:r>
    </w:p>
    <w:p w:rsidR="005E2D0A" w:rsidRPr="005E2D0A" w:rsidRDefault="005E2D0A" w:rsidP="005E2D0A">
      <w:pPr>
        <w:spacing w:line="520" w:lineRule="exact"/>
        <w:ind w:firstLine="600"/>
        <w:rPr>
          <w:rFonts w:ascii="仿宋_GB2312" w:eastAsia="仿宋_GB2312" w:hAnsi="宋体" w:cs="Times New Roman"/>
          <w:sz w:val="32"/>
          <w:szCs w:val="32"/>
        </w:rPr>
      </w:pPr>
      <w:r w:rsidRPr="005E2D0A">
        <w:rPr>
          <w:rFonts w:ascii="仿宋_GB2312" w:eastAsia="仿宋_GB2312" w:hAnsi="宋体" w:cs="Times New Roman" w:hint="eastAsia"/>
          <w:sz w:val="32"/>
          <w:szCs w:val="32"/>
        </w:rPr>
        <w:t>详见附件二《泰州学院2020年秋学期学生安全教育学习计划表》</w:t>
      </w:r>
    </w:p>
    <w:p w:rsidR="005E2D0A" w:rsidRPr="005E2D0A" w:rsidRDefault="005E2D0A" w:rsidP="005E2D0A">
      <w:pPr>
        <w:spacing w:line="520" w:lineRule="exact"/>
        <w:ind w:firstLine="600"/>
        <w:rPr>
          <w:rFonts w:ascii="黑体" w:eastAsia="黑体" w:hAnsi="黑体" w:cs="Times New Roman"/>
          <w:sz w:val="32"/>
          <w:szCs w:val="32"/>
        </w:rPr>
      </w:pPr>
      <w:r w:rsidRPr="005E2D0A">
        <w:rPr>
          <w:rFonts w:ascii="黑体" w:eastAsia="黑体" w:hAnsi="黑体" w:cs="Times New Roman" w:hint="eastAsia"/>
          <w:sz w:val="32"/>
          <w:szCs w:val="32"/>
        </w:rPr>
        <w:t>三、学习形式</w:t>
      </w:r>
    </w:p>
    <w:p w:rsidR="005E2D0A" w:rsidRPr="005E2D0A" w:rsidRDefault="005E2D0A" w:rsidP="005E2D0A">
      <w:pPr>
        <w:spacing w:line="520" w:lineRule="exact"/>
        <w:ind w:firstLine="600"/>
        <w:rPr>
          <w:rFonts w:ascii="仿宋_GB2312" w:eastAsia="仿宋_GB2312" w:hAnsi="宋体" w:cs="Times New Roman"/>
          <w:sz w:val="32"/>
          <w:szCs w:val="32"/>
        </w:rPr>
      </w:pPr>
      <w:r w:rsidRPr="005E2D0A">
        <w:rPr>
          <w:rFonts w:ascii="仿宋_GB2312" w:eastAsia="仿宋_GB2312" w:hAnsi="宋体" w:cs="Times New Roman" w:hint="eastAsia"/>
          <w:sz w:val="32"/>
          <w:szCs w:val="32"/>
        </w:rPr>
        <w:t>以学生自学为主，二级学院辅导员答疑解惑为辅</w:t>
      </w:r>
      <w:r w:rsidR="00E45051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Pr="005E2D0A">
        <w:rPr>
          <w:rFonts w:ascii="仿宋_GB2312" w:eastAsia="仿宋_GB2312" w:hAnsi="宋体" w:cs="Times New Roman" w:hint="eastAsia"/>
          <w:sz w:val="32"/>
          <w:szCs w:val="32"/>
        </w:rPr>
        <w:t>每</w:t>
      </w:r>
      <w:r w:rsidR="00E45051">
        <w:rPr>
          <w:rFonts w:ascii="仿宋_GB2312" w:eastAsia="仿宋_GB2312" w:hAnsi="宋体" w:cs="Times New Roman" w:hint="eastAsia"/>
          <w:sz w:val="32"/>
          <w:szCs w:val="32"/>
        </w:rPr>
        <w:t>小节学习</w:t>
      </w:r>
      <w:r w:rsidRPr="005E2D0A">
        <w:rPr>
          <w:rFonts w:ascii="仿宋_GB2312" w:eastAsia="仿宋_GB2312" w:hAnsi="宋体" w:cs="Times New Roman" w:hint="eastAsia"/>
          <w:sz w:val="32"/>
          <w:szCs w:val="32"/>
        </w:rPr>
        <w:t>后，</w:t>
      </w:r>
      <w:r w:rsidR="00E45051">
        <w:rPr>
          <w:rFonts w:ascii="仿宋_GB2312" w:eastAsia="仿宋_GB2312" w:hAnsi="宋体" w:cs="Times New Roman" w:hint="eastAsia"/>
          <w:sz w:val="32"/>
          <w:szCs w:val="32"/>
        </w:rPr>
        <w:t>完成答题</w:t>
      </w:r>
      <w:r w:rsidRPr="005E2D0A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="00E45051">
        <w:rPr>
          <w:rFonts w:ascii="仿宋_GB2312" w:eastAsia="仿宋_GB2312" w:hAnsi="宋体" w:cs="Times New Roman" w:hint="eastAsia"/>
          <w:sz w:val="32"/>
          <w:szCs w:val="32"/>
        </w:rPr>
        <w:t>全部章节学完后进行线上考试。</w:t>
      </w:r>
    </w:p>
    <w:p w:rsidR="005E2D0A" w:rsidRPr="005E2D0A" w:rsidRDefault="005E2D0A" w:rsidP="005E2D0A">
      <w:pPr>
        <w:spacing w:line="520" w:lineRule="exact"/>
        <w:ind w:firstLine="600"/>
        <w:rPr>
          <w:rFonts w:ascii="黑体" w:eastAsia="黑体" w:hAnsi="黑体" w:cs="Times New Roman"/>
          <w:sz w:val="32"/>
          <w:szCs w:val="32"/>
        </w:rPr>
      </w:pPr>
      <w:r w:rsidRPr="005E2D0A">
        <w:rPr>
          <w:rFonts w:ascii="黑体" w:eastAsia="黑体" w:hAnsi="黑体" w:cs="Times New Roman" w:hint="eastAsia"/>
          <w:sz w:val="32"/>
          <w:szCs w:val="32"/>
        </w:rPr>
        <w:lastRenderedPageBreak/>
        <w:t>四、相关要求</w:t>
      </w:r>
    </w:p>
    <w:p w:rsidR="005E2D0A" w:rsidRPr="005E2D0A" w:rsidRDefault="005E2D0A" w:rsidP="005E2D0A">
      <w:pPr>
        <w:spacing w:line="520" w:lineRule="exact"/>
        <w:ind w:firstLine="600"/>
        <w:rPr>
          <w:rFonts w:ascii="仿宋_GB2312" w:eastAsia="仿宋_GB2312" w:hAnsi="宋体" w:cs="Times New Roman"/>
          <w:sz w:val="32"/>
          <w:szCs w:val="32"/>
        </w:rPr>
      </w:pPr>
      <w:r w:rsidRPr="005E2D0A">
        <w:rPr>
          <w:rFonts w:ascii="仿宋_GB2312" w:eastAsia="仿宋_GB2312" w:hAnsi="宋体" w:cs="Times New Roman" w:hint="eastAsia"/>
          <w:sz w:val="32"/>
          <w:szCs w:val="32"/>
        </w:rPr>
        <w:t>（一）提高政治站位，充分认识开展线上学生安全教育工作的重要意义</w:t>
      </w:r>
    </w:p>
    <w:p w:rsidR="005E2D0A" w:rsidRPr="005E2D0A" w:rsidRDefault="005E2D0A" w:rsidP="005E2D0A">
      <w:pPr>
        <w:spacing w:line="520" w:lineRule="exact"/>
        <w:ind w:firstLine="600"/>
        <w:rPr>
          <w:rFonts w:ascii="仿宋_GB2312" w:eastAsia="仿宋_GB2312" w:hAnsi="宋体" w:cs="Times New Roman"/>
          <w:sz w:val="32"/>
          <w:szCs w:val="32"/>
        </w:rPr>
      </w:pPr>
      <w:r w:rsidRPr="005E2D0A">
        <w:rPr>
          <w:rFonts w:ascii="仿宋_GB2312" w:eastAsia="仿宋_GB2312" w:hAnsi="宋体" w:cs="Times New Roman" w:hint="eastAsia"/>
          <w:sz w:val="32"/>
          <w:szCs w:val="32"/>
        </w:rPr>
        <w:t>开展线上学生安全教育工作是贯彻落</w:t>
      </w:r>
      <w:proofErr w:type="gramStart"/>
      <w:r w:rsidRPr="005E2D0A">
        <w:rPr>
          <w:rFonts w:ascii="仿宋_GB2312" w:eastAsia="仿宋_GB2312" w:hAnsi="宋体" w:cs="Times New Roman" w:hint="eastAsia"/>
          <w:sz w:val="32"/>
          <w:szCs w:val="32"/>
        </w:rPr>
        <w:t>实习近</w:t>
      </w:r>
      <w:proofErr w:type="gramEnd"/>
      <w:r w:rsidRPr="005E2D0A">
        <w:rPr>
          <w:rFonts w:ascii="仿宋_GB2312" w:eastAsia="仿宋_GB2312" w:hAnsi="宋体" w:cs="Times New Roman" w:hint="eastAsia"/>
          <w:sz w:val="32"/>
          <w:szCs w:val="32"/>
        </w:rPr>
        <w:t>平总书记关于安全生产重要指示批示精神和论述的重要</w:t>
      </w:r>
      <w:r w:rsidR="00E45051">
        <w:rPr>
          <w:rFonts w:ascii="仿宋_GB2312" w:eastAsia="仿宋_GB2312" w:hAnsi="宋体" w:cs="Times New Roman" w:hint="eastAsia"/>
          <w:sz w:val="32"/>
          <w:szCs w:val="32"/>
        </w:rPr>
        <w:t>途径</w:t>
      </w:r>
      <w:r w:rsidRPr="005E2D0A">
        <w:rPr>
          <w:rFonts w:ascii="仿宋_GB2312" w:eastAsia="仿宋_GB2312" w:hAnsi="宋体" w:cs="Times New Roman" w:hint="eastAsia"/>
          <w:sz w:val="32"/>
          <w:szCs w:val="32"/>
        </w:rPr>
        <w:t>，是坚持贯彻落实立德树人根本任务</w:t>
      </w:r>
      <w:r w:rsidR="00E45051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E45051" w:rsidRPr="005E2D0A">
        <w:rPr>
          <w:rFonts w:ascii="仿宋_GB2312" w:eastAsia="仿宋_GB2312" w:hAnsi="宋体" w:cs="Times New Roman" w:hint="eastAsia"/>
          <w:sz w:val="32"/>
          <w:szCs w:val="32"/>
        </w:rPr>
        <w:t>完成学校人才培养目标</w:t>
      </w:r>
      <w:r w:rsidRPr="005E2D0A">
        <w:rPr>
          <w:rFonts w:ascii="仿宋_GB2312" w:eastAsia="仿宋_GB2312" w:hAnsi="宋体" w:cs="Times New Roman" w:hint="eastAsia"/>
          <w:sz w:val="32"/>
          <w:szCs w:val="32"/>
        </w:rPr>
        <w:t>重要</w:t>
      </w:r>
      <w:r w:rsidR="00E45051">
        <w:rPr>
          <w:rFonts w:ascii="仿宋_GB2312" w:eastAsia="仿宋_GB2312" w:hAnsi="宋体" w:cs="Times New Roman" w:hint="eastAsia"/>
          <w:sz w:val="32"/>
          <w:szCs w:val="32"/>
        </w:rPr>
        <w:t>举措</w:t>
      </w:r>
      <w:r w:rsidRPr="005E2D0A">
        <w:rPr>
          <w:rFonts w:ascii="仿宋_GB2312" w:eastAsia="仿宋_GB2312" w:hAnsi="宋体" w:cs="Times New Roman" w:hint="eastAsia"/>
          <w:sz w:val="32"/>
          <w:szCs w:val="32"/>
        </w:rPr>
        <w:t>，是新冠疫情常态化防控</w:t>
      </w:r>
      <w:r w:rsidR="00E45051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5E2D0A">
        <w:rPr>
          <w:rFonts w:ascii="仿宋_GB2312" w:eastAsia="仿宋_GB2312" w:hAnsi="宋体" w:cs="Times New Roman" w:hint="eastAsia"/>
          <w:sz w:val="32"/>
          <w:szCs w:val="32"/>
        </w:rPr>
        <w:t>营造安全稳定校园环境，顺利通过本科教学工作合格评估工作的重要保障。学生安全教育工作</w:t>
      </w:r>
      <w:r w:rsidR="00E45051">
        <w:rPr>
          <w:rFonts w:ascii="仿宋_GB2312" w:eastAsia="仿宋_GB2312" w:hAnsi="宋体" w:cs="Times New Roman" w:hint="eastAsia"/>
          <w:sz w:val="32"/>
          <w:szCs w:val="32"/>
        </w:rPr>
        <w:t>既是</w:t>
      </w:r>
      <w:r w:rsidRPr="005E2D0A">
        <w:rPr>
          <w:rFonts w:ascii="仿宋_GB2312" w:eastAsia="仿宋_GB2312" w:hAnsi="宋体" w:cs="Times New Roman" w:hint="eastAsia"/>
          <w:sz w:val="32"/>
          <w:szCs w:val="32"/>
        </w:rPr>
        <w:t>学校安全教育工作的重要组成部分，也是省市对学校党建考核的重要内容。各二级学院要进一步提高思想认识和政治站位，力</w:t>
      </w:r>
      <w:proofErr w:type="gramStart"/>
      <w:r w:rsidRPr="005E2D0A">
        <w:rPr>
          <w:rFonts w:ascii="仿宋_GB2312" w:eastAsia="仿宋_GB2312" w:hAnsi="宋体" w:cs="Times New Roman" w:hint="eastAsia"/>
          <w:sz w:val="32"/>
          <w:szCs w:val="32"/>
        </w:rPr>
        <w:t>诫</w:t>
      </w:r>
      <w:proofErr w:type="gramEnd"/>
      <w:r w:rsidRPr="005E2D0A">
        <w:rPr>
          <w:rFonts w:ascii="仿宋_GB2312" w:eastAsia="仿宋_GB2312" w:hAnsi="宋体" w:cs="Times New Roman" w:hint="eastAsia"/>
          <w:sz w:val="32"/>
          <w:szCs w:val="32"/>
        </w:rPr>
        <w:t>“官僚主义”和“形式主义”，真正把学生安全教育工作抓细抓实抓牢。</w:t>
      </w:r>
    </w:p>
    <w:p w:rsidR="005E2D0A" w:rsidRPr="005E2D0A" w:rsidRDefault="005E2D0A" w:rsidP="005E2D0A">
      <w:pPr>
        <w:spacing w:line="520" w:lineRule="exact"/>
        <w:ind w:firstLine="600"/>
        <w:rPr>
          <w:rFonts w:ascii="仿宋_GB2312" w:eastAsia="仿宋_GB2312" w:hAnsi="宋体" w:cs="Times New Roman"/>
          <w:sz w:val="32"/>
          <w:szCs w:val="32"/>
        </w:rPr>
      </w:pPr>
      <w:r w:rsidRPr="005E2D0A">
        <w:rPr>
          <w:rFonts w:ascii="仿宋_GB2312" w:eastAsia="仿宋_GB2312" w:hAnsi="宋体" w:cs="Times New Roman" w:hint="eastAsia"/>
          <w:sz w:val="32"/>
          <w:szCs w:val="32"/>
        </w:rPr>
        <w:t>（二）加强组织领导，完成“双百”目标任务</w:t>
      </w:r>
    </w:p>
    <w:p w:rsidR="005E2D0A" w:rsidRPr="005E2D0A" w:rsidRDefault="005E2D0A" w:rsidP="005E2D0A">
      <w:pPr>
        <w:spacing w:line="520" w:lineRule="exact"/>
        <w:ind w:firstLine="600"/>
        <w:rPr>
          <w:rFonts w:ascii="仿宋_GB2312" w:eastAsia="仿宋_GB2312" w:hAnsi="宋体" w:cs="Times New Roman"/>
          <w:sz w:val="32"/>
          <w:szCs w:val="32"/>
        </w:rPr>
      </w:pPr>
      <w:r w:rsidRPr="005E2D0A">
        <w:rPr>
          <w:rFonts w:ascii="仿宋_GB2312" w:eastAsia="仿宋_GB2312" w:hAnsi="宋体" w:cs="Times New Roman" w:hint="eastAsia"/>
          <w:sz w:val="32"/>
          <w:szCs w:val="32"/>
        </w:rPr>
        <w:t>各二级学院学工负责人是本学院学生安全教育工作的主要负责人，各班级辅导员是安全教育工作的直接责任人，各二级学院要根据本通知要求，结合本学院实际，进一步细化线上安全教育工作方案，加强各环节的督查和指导，针对学生在自主学习过程中出现的困难和疑惑，进行答疑解惑，确保本学院学生参与率百分之百，考核通过率百分之百。“双百”目标任务列入年终学工安全工作考核的重要内容。</w:t>
      </w:r>
    </w:p>
    <w:p w:rsidR="005E2D0A" w:rsidRPr="005E2D0A" w:rsidRDefault="005E2D0A" w:rsidP="005E2D0A">
      <w:pPr>
        <w:spacing w:line="520" w:lineRule="exact"/>
        <w:ind w:firstLine="600"/>
        <w:rPr>
          <w:rFonts w:ascii="仿宋_GB2312" w:eastAsia="仿宋_GB2312" w:hAnsi="宋体" w:cs="Times New Roman"/>
          <w:sz w:val="32"/>
          <w:szCs w:val="32"/>
        </w:rPr>
      </w:pPr>
      <w:r w:rsidRPr="005E2D0A">
        <w:rPr>
          <w:rFonts w:ascii="仿宋_GB2312" w:eastAsia="仿宋_GB2312" w:hAnsi="宋体" w:cs="Times New Roman" w:hint="eastAsia"/>
          <w:sz w:val="32"/>
          <w:szCs w:val="32"/>
        </w:rPr>
        <w:t>使用“校园安全通”进行线上安全教育，是学生安全教育工作的创新之举，是开展全员安全教育的有力之举，是“新冠疫情常态化防控”有效之举。各二级学院在使用学习过程中如出现相关问题，请及时在学工</w:t>
      </w:r>
      <w:proofErr w:type="gramStart"/>
      <w:r w:rsidRPr="005E2D0A">
        <w:rPr>
          <w:rFonts w:ascii="仿宋_GB2312" w:eastAsia="仿宋_GB2312" w:hAnsi="宋体" w:cs="Times New Roman" w:hint="eastAsia"/>
          <w:sz w:val="32"/>
          <w:szCs w:val="32"/>
        </w:rPr>
        <w:t>微信群</w:t>
      </w:r>
      <w:proofErr w:type="gramEnd"/>
      <w:r w:rsidRPr="005E2D0A">
        <w:rPr>
          <w:rFonts w:ascii="仿宋_GB2312" w:eastAsia="仿宋_GB2312" w:hAnsi="宋体" w:cs="Times New Roman" w:hint="eastAsia"/>
          <w:sz w:val="32"/>
          <w:szCs w:val="32"/>
        </w:rPr>
        <w:t>内反馈给保卫处。</w:t>
      </w:r>
    </w:p>
    <w:p w:rsidR="005E2D0A" w:rsidRPr="005E2D0A" w:rsidRDefault="005E2D0A" w:rsidP="005E2D0A">
      <w:pPr>
        <w:spacing w:line="520" w:lineRule="exact"/>
        <w:ind w:firstLine="600"/>
        <w:rPr>
          <w:rFonts w:ascii="仿宋_GB2312" w:eastAsia="仿宋_GB2312" w:hAnsi="宋体" w:cs="Times New Roman"/>
          <w:sz w:val="32"/>
          <w:szCs w:val="32"/>
        </w:rPr>
      </w:pPr>
      <w:r w:rsidRPr="005E2D0A">
        <w:rPr>
          <w:rFonts w:ascii="仿宋_GB2312" w:eastAsia="仿宋_GB2312" w:hAnsi="宋体" w:cs="Times New Roman" w:hint="eastAsia"/>
          <w:sz w:val="32"/>
          <w:szCs w:val="32"/>
        </w:rPr>
        <w:t>联系人：芮晨 17798899011</w:t>
      </w:r>
    </w:p>
    <w:p w:rsidR="005E2D0A" w:rsidRPr="005E2D0A" w:rsidRDefault="005E2D0A" w:rsidP="005E2D0A">
      <w:pPr>
        <w:spacing w:line="520" w:lineRule="exact"/>
        <w:ind w:firstLine="600"/>
        <w:rPr>
          <w:rFonts w:ascii="仿宋_GB2312" w:eastAsia="仿宋_GB2312" w:hAnsi="宋体" w:cs="Times New Roman"/>
          <w:sz w:val="32"/>
          <w:szCs w:val="32"/>
        </w:rPr>
      </w:pPr>
    </w:p>
    <w:p w:rsidR="005E2D0A" w:rsidRPr="005E2D0A" w:rsidRDefault="005E2D0A" w:rsidP="005E2D0A">
      <w:pPr>
        <w:spacing w:line="520" w:lineRule="exact"/>
        <w:ind w:firstLine="600"/>
        <w:rPr>
          <w:rFonts w:ascii="仿宋_GB2312" w:eastAsia="仿宋_GB2312" w:hAnsi="宋体" w:cs="Times New Roman"/>
          <w:sz w:val="32"/>
          <w:szCs w:val="32"/>
        </w:rPr>
      </w:pPr>
      <w:r w:rsidRPr="005E2D0A">
        <w:rPr>
          <w:rFonts w:ascii="仿宋_GB2312" w:eastAsia="仿宋_GB2312" w:hAnsi="宋体" w:cs="Times New Roman" w:hint="eastAsia"/>
          <w:sz w:val="32"/>
          <w:szCs w:val="32"/>
        </w:rPr>
        <w:t>附件1：《校园安全通学习流程》</w:t>
      </w:r>
    </w:p>
    <w:p w:rsidR="00F312E6" w:rsidRPr="00F312E6" w:rsidRDefault="005E2D0A" w:rsidP="005E2D0A">
      <w:pPr>
        <w:adjustRightInd w:val="0"/>
        <w:snapToGrid w:val="0"/>
        <w:spacing w:line="520" w:lineRule="exact"/>
        <w:ind w:right="420"/>
        <w:jc w:val="left"/>
        <w:rPr>
          <w:rFonts w:ascii="仿宋" w:eastAsia="仿宋" w:hAnsi="仿宋" w:cs="Times New Roman"/>
          <w:sz w:val="32"/>
          <w:szCs w:val="32"/>
        </w:rPr>
      </w:pPr>
      <w:r w:rsidRPr="005E2D0A">
        <w:rPr>
          <w:rFonts w:ascii="仿宋_GB2312" w:eastAsia="仿宋_GB2312" w:hAnsi="宋体" w:cs="Times New Roman" w:hint="eastAsia"/>
          <w:sz w:val="32"/>
          <w:szCs w:val="32"/>
        </w:rPr>
        <w:lastRenderedPageBreak/>
        <w:t>附件2：《安全教育学习计划表》</w:t>
      </w:r>
      <w:r w:rsidR="00F312E6" w:rsidRPr="00F312E6">
        <w:rPr>
          <w:rFonts w:ascii="仿宋" w:eastAsia="仿宋" w:hAnsi="仿宋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A8D1EB6" wp14:editId="02E001C4">
            <wp:simplePos x="0" y="0"/>
            <wp:positionH relativeFrom="column">
              <wp:posOffset>2896870</wp:posOffset>
            </wp:positionH>
            <wp:positionV relativeFrom="paragraph">
              <wp:posOffset>177165</wp:posOffset>
            </wp:positionV>
            <wp:extent cx="1943735" cy="214503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backgroundMark x1="23529" y1="15991" x2="23529" y2="0"/>
                                  <a14:backgroundMark x1="23529" y1="15991" x2="22118" y2="0"/>
                                  <a14:backgroundMark x1="21176" y1="22175" x2="21176" y2="0"/>
                                  <a14:backgroundMark x1="19529" y1="24947" x2="19529" y2="0"/>
                                  <a14:backgroundMark x1="17176" y1="27505" x2="17176" y2="0"/>
                                  <a14:backgroundMark x1="13176" y1="18124" x2="13176" y2="0"/>
                                  <a14:backgroundMark x1="13647" y1="15991" x2="40706" y2="0"/>
                                  <a14:backgroundMark x1="22118" y1="16844" x2="22118" y2="0"/>
                                  <a14:backgroundMark x1="24000" y1="23454" x2="24000" y2="0"/>
                                  <a14:backgroundMark x1="40706" y1="16418" x2="40706" y2="0"/>
                                  <a14:backgroundMark x1="51529" y1="14286" x2="57882" y2="0"/>
                                  <a14:backgroundMark x1="67294" y1="12367" x2="67294" y2="0"/>
                                  <a14:backgroundMark x1="76941" y1="13859" x2="76941" y2="0"/>
                                  <a14:backgroundMark x1="80941" y1="19190" x2="80941" y2="0"/>
                                  <a14:backgroundMark x1="81412" y1="23028" x2="81412" y2="0"/>
                                  <a14:backgroundMark x1="85882" y1="29851" x2="85882" y2="0"/>
                                  <a14:backgroundMark x1="84941" y1="77399" x2="84941" y2="0"/>
                                  <a14:backgroundMark x1="79529" y1="84861" x2="79529" y2="0"/>
                                  <a14:backgroundMark x1="70118" y1="85288" x2="70118" y2="0"/>
                                  <a14:backgroundMark x1="24000" y1="87207" x2="24000" y2="0"/>
                                  <a14:backgroundMark x1="15765" y1="78678" x2="15765" y2="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2E6" w:rsidRPr="00F312E6" w:rsidRDefault="00F312E6" w:rsidP="00F312E6">
      <w:pPr>
        <w:adjustRightInd w:val="0"/>
        <w:snapToGrid w:val="0"/>
        <w:spacing w:line="520" w:lineRule="exact"/>
        <w:ind w:right="420"/>
        <w:jc w:val="left"/>
        <w:rPr>
          <w:rFonts w:ascii="仿宋" w:eastAsia="仿宋" w:hAnsi="仿宋" w:cs="Times New Roman"/>
          <w:sz w:val="32"/>
          <w:szCs w:val="32"/>
        </w:rPr>
      </w:pPr>
    </w:p>
    <w:p w:rsidR="00F312E6" w:rsidRPr="00F312E6" w:rsidRDefault="00F312E6" w:rsidP="00F312E6">
      <w:pPr>
        <w:adjustRightInd w:val="0"/>
        <w:snapToGrid w:val="0"/>
        <w:spacing w:line="520" w:lineRule="exact"/>
        <w:ind w:right="420"/>
        <w:jc w:val="left"/>
        <w:rPr>
          <w:rFonts w:ascii="仿宋" w:eastAsia="仿宋" w:hAnsi="仿宋" w:cs="Times New Roman"/>
          <w:sz w:val="32"/>
          <w:szCs w:val="32"/>
        </w:rPr>
      </w:pPr>
    </w:p>
    <w:p w:rsidR="00F312E6" w:rsidRPr="00F312E6" w:rsidRDefault="00F312E6" w:rsidP="00F312E6">
      <w:pPr>
        <w:adjustRightInd w:val="0"/>
        <w:snapToGrid w:val="0"/>
        <w:spacing w:line="520" w:lineRule="exact"/>
        <w:ind w:right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312E6"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drawing>
          <wp:inline distT="0" distB="0" distL="0" distR="0" wp14:anchorId="216ECF24" wp14:editId="330D4ABB">
            <wp:extent cx="1943100" cy="21437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14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2E6" w:rsidRPr="00F312E6" w:rsidRDefault="00F312E6" w:rsidP="00F312E6">
      <w:pPr>
        <w:wordWrap w:val="0"/>
        <w:adjustRightInd w:val="0"/>
        <w:snapToGrid w:val="0"/>
        <w:spacing w:line="520" w:lineRule="exact"/>
        <w:ind w:right="100"/>
        <w:jc w:val="right"/>
        <w:rPr>
          <w:rFonts w:ascii="仿宋" w:eastAsia="仿宋" w:hAnsi="仿宋" w:cs="Times New Roman"/>
          <w:sz w:val="32"/>
          <w:szCs w:val="32"/>
        </w:rPr>
      </w:pPr>
      <w:r w:rsidRPr="00F312E6">
        <w:rPr>
          <w:rFonts w:ascii="仿宋" w:eastAsia="仿宋" w:hAnsi="仿宋" w:cs="Times New Roman" w:hint="eastAsia"/>
          <w:sz w:val="32"/>
          <w:szCs w:val="32"/>
        </w:rPr>
        <w:t xml:space="preserve">   泰州学院保卫处        </w:t>
      </w:r>
    </w:p>
    <w:p w:rsidR="00F312E6" w:rsidRPr="00F312E6" w:rsidRDefault="00F312E6" w:rsidP="00F312E6">
      <w:pPr>
        <w:wordWrap w:val="0"/>
        <w:adjustRightInd w:val="0"/>
        <w:snapToGrid w:val="0"/>
        <w:spacing w:line="520" w:lineRule="exact"/>
        <w:ind w:right="26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F312E6">
        <w:rPr>
          <w:rFonts w:ascii="仿宋" w:eastAsia="仿宋" w:hAnsi="仿宋" w:cs="Times New Roman" w:hint="eastAsia"/>
          <w:sz w:val="32"/>
          <w:szCs w:val="32"/>
        </w:rPr>
        <w:t>2020年9月</w:t>
      </w:r>
      <w:r w:rsidR="00E45051">
        <w:rPr>
          <w:rFonts w:ascii="仿宋" w:eastAsia="仿宋" w:hAnsi="仿宋" w:cs="Times New Roman"/>
          <w:sz w:val="32"/>
          <w:szCs w:val="32"/>
        </w:rPr>
        <w:t>8</w:t>
      </w:r>
      <w:r w:rsidRPr="00F312E6">
        <w:rPr>
          <w:rFonts w:ascii="仿宋" w:eastAsia="仿宋" w:hAnsi="仿宋" w:cs="Times New Roman" w:hint="eastAsia"/>
          <w:sz w:val="32"/>
          <w:szCs w:val="32"/>
        </w:rPr>
        <w:t xml:space="preserve">日   </w:t>
      </w:r>
      <w:r w:rsidRPr="00F312E6"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</w:p>
    <w:p w:rsidR="00F312E6" w:rsidRDefault="00F312E6" w:rsidP="00F312E6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1360C" w:rsidRDefault="0061360C" w:rsidP="00F312E6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1360C" w:rsidRDefault="0061360C" w:rsidP="00F312E6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1360C" w:rsidRDefault="0061360C" w:rsidP="00F312E6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1360C" w:rsidRDefault="0061360C" w:rsidP="00F312E6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1360C" w:rsidRDefault="0061360C" w:rsidP="00F312E6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1360C" w:rsidRDefault="0061360C" w:rsidP="00F312E6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1360C" w:rsidRDefault="0061360C" w:rsidP="00F312E6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1360C" w:rsidRDefault="0061360C" w:rsidP="00F312E6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1360C" w:rsidRDefault="0061360C" w:rsidP="00F312E6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1360C" w:rsidRDefault="0061360C" w:rsidP="00F312E6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1360C" w:rsidRDefault="0061360C" w:rsidP="00F312E6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1360C" w:rsidRDefault="0061360C" w:rsidP="00F312E6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1360C" w:rsidRDefault="0061360C" w:rsidP="00F312E6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1360C" w:rsidRDefault="0061360C" w:rsidP="00F312E6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1360C" w:rsidRDefault="0061360C" w:rsidP="00F312E6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1360C" w:rsidRDefault="0061360C" w:rsidP="00F312E6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1360C" w:rsidRPr="00F312E6" w:rsidRDefault="0061360C" w:rsidP="00F312E6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1360C" w:rsidRDefault="0061360C" w:rsidP="0061360C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1</w:t>
      </w:r>
    </w:p>
    <w:p w:rsidR="0061360C" w:rsidRPr="00A02E0C" w:rsidRDefault="0061360C" w:rsidP="0061360C">
      <w:pPr>
        <w:spacing w:line="5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</w:t>
      </w:r>
      <w:r w:rsidRPr="00A02E0C">
        <w:rPr>
          <w:rFonts w:ascii="黑体" w:eastAsia="黑体" w:hAnsi="黑体" w:hint="eastAsia"/>
          <w:sz w:val="32"/>
          <w:szCs w:val="32"/>
        </w:rPr>
        <w:t>校园安全通</w:t>
      </w:r>
      <w:r>
        <w:rPr>
          <w:rFonts w:ascii="黑体" w:eastAsia="黑体" w:hAnsi="黑体" w:hint="eastAsia"/>
          <w:sz w:val="32"/>
          <w:szCs w:val="32"/>
        </w:rPr>
        <w:t>”注册、登录、</w:t>
      </w:r>
      <w:r w:rsidRPr="00A02E0C">
        <w:rPr>
          <w:rFonts w:ascii="黑体" w:eastAsia="黑体" w:hAnsi="黑体" w:hint="eastAsia"/>
          <w:sz w:val="32"/>
          <w:szCs w:val="32"/>
        </w:rPr>
        <w:t>学习流程</w:t>
      </w:r>
    </w:p>
    <w:p w:rsidR="0061360C" w:rsidRDefault="0061360C" w:rsidP="0061360C">
      <w:pPr>
        <w:spacing w:line="500" w:lineRule="exact"/>
        <w:ind w:firstLineChars="200" w:firstLine="560"/>
        <w:jc w:val="center"/>
        <w:rPr>
          <w:sz w:val="28"/>
          <w:szCs w:val="28"/>
        </w:rPr>
      </w:pPr>
    </w:p>
    <w:p w:rsidR="0061360C" w:rsidRPr="004E31B2" w:rsidRDefault="0061360C" w:rsidP="0061360C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proofErr w:type="gramStart"/>
      <w:r w:rsidRPr="004E31B2"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微信搜索</w:t>
      </w:r>
      <w:proofErr w:type="gramEnd"/>
      <w:r>
        <w:rPr>
          <w:rFonts w:hint="eastAsia"/>
          <w:sz w:val="28"/>
          <w:szCs w:val="28"/>
        </w:rPr>
        <w:t>并</w:t>
      </w:r>
      <w:r w:rsidRPr="004E31B2">
        <w:rPr>
          <w:rFonts w:hint="eastAsia"/>
          <w:sz w:val="28"/>
          <w:szCs w:val="28"/>
        </w:rPr>
        <w:t>关注公众号「校园安全通」，点击菜单栏「大学生安全教育」进入平台；</w:t>
      </w:r>
    </w:p>
    <w:p w:rsidR="0061360C" w:rsidRPr="004E31B2" w:rsidRDefault="0061360C" w:rsidP="0061360C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 w:rsidRPr="004E31B2">
        <w:rPr>
          <w:rFonts w:hint="eastAsia"/>
          <w:sz w:val="28"/>
          <w:szCs w:val="28"/>
        </w:rPr>
        <w:t>在登录页，输入所属学校名称、个人学号、初始密码（初始密码与学号相同），提交跳转至主页即登陆成功，请按照提示完善个人信息。</w:t>
      </w:r>
    </w:p>
    <w:p w:rsidR="0061360C" w:rsidRDefault="0061360C" w:rsidP="0061360C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 w:rsidRPr="004E31B2">
        <w:rPr>
          <w:rFonts w:hint="eastAsia"/>
          <w:sz w:val="28"/>
          <w:szCs w:val="28"/>
        </w:rPr>
        <w:t>点击「课程学习」，进入</w:t>
      </w:r>
      <w:r w:rsidRPr="004E31B2">
        <w:rPr>
          <w:rFonts w:hint="eastAsia"/>
          <w:sz w:val="28"/>
          <w:szCs w:val="28"/>
        </w:rPr>
        <w:t>13</w:t>
      </w:r>
      <w:r w:rsidRPr="004E31B2">
        <w:rPr>
          <w:rFonts w:hint="eastAsia"/>
          <w:sz w:val="28"/>
          <w:szCs w:val="28"/>
        </w:rPr>
        <w:t>个安全主题的学习。每个主题配有不同的小节，学习并成功通过课后习题的测试，该小节才会被标记为已完成。</w:t>
      </w:r>
    </w:p>
    <w:p w:rsidR="0061360C" w:rsidRDefault="0061360C" w:rsidP="0061360C">
      <w:pPr>
        <w:spacing w:line="360" w:lineRule="auto"/>
        <w:rPr>
          <w:rFonts w:eastAsia="宋体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046A4FE3" wp14:editId="7D877ABF">
            <wp:extent cx="1621790" cy="3514725"/>
            <wp:effectExtent l="0" t="0" r="1651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hint="eastAsia"/>
          <w:noProof/>
          <w:sz w:val="24"/>
          <w:szCs w:val="24"/>
        </w:rPr>
        <w:drawing>
          <wp:inline distT="0" distB="0" distL="114300" distR="114300" wp14:anchorId="517CF5EF" wp14:editId="41F3B81A">
            <wp:extent cx="1620520" cy="3508375"/>
            <wp:effectExtent l="0" t="0" r="17780" b="15875"/>
            <wp:docPr id="2" name="图片 2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noProof/>
          <w:sz w:val="24"/>
          <w:szCs w:val="24"/>
        </w:rPr>
        <w:drawing>
          <wp:inline distT="0" distB="0" distL="114300" distR="114300" wp14:anchorId="3DEA94F6" wp14:editId="6B618133">
            <wp:extent cx="1623695" cy="3515995"/>
            <wp:effectExtent l="0" t="0" r="14605" b="8255"/>
            <wp:docPr id="5" name="图片 5" descr="图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0C" w:rsidRDefault="0061360C" w:rsidP="0061360C">
      <w:pPr>
        <w:spacing w:line="360" w:lineRule="auto"/>
        <w:rPr>
          <w:rFonts w:eastAsia="宋体"/>
          <w:sz w:val="24"/>
          <w:szCs w:val="24"/>
        </w:rPr>
      </w:pPr>
    </w:p>
    <w:p w:rsidR="0061360C" w:rsidRDefault="0061360C" w:rsidP="0061360C">
      <w:pPr>
        <w:spacing w:line="360" w:lineRule="auto"/>
        <w:rPr>
          <w:rFonts w:eastAsia="宋体"/>
          <w:sz w:val="24"/>
          <w:szCs w:val="24"/>
        </w:rPr>
      </w:pPr>
    </w:p>
    <w:p w:rsidR="0061360C" w:rsidRDefault="0061360C" w:rsidP="0061360C">
      <w:pPr>
        <w:spacing w:line="360" w:lineRule="auto"/>
        <w:rPr>
          <w:rFonts w:eastAsia="宋体"/>
          <w:sz w:val="24"/>
          <w:szCs w:val="24"/>
        </w:rPr>
      </w:pPr>
    </w:p>
    <w:p w:rsidR="0061360C" w:rsidRDefault="0061360C" w:rsidP="0061360C">
      <w:pPr>
        <w:spacing w:line="360" w:lineRule="auto"/>
        <w:rPr>
          <w:rFonts w:eastAsia="宋体"/>
          <w:sz w:val="24"/>
          <w:szCs w:val="24"/>
        </w:rPr>
      </w:pPr>
    </w:p>
    <w:p w:rsidR="0061360C" w:rsidRDefault="0061360C" w:rsidP="0061360C">
      <w:pPr>
        <w:spacing w:line="360" w:lineRule="auto"/>
        <w:rPr>
          <w:rFonts w:eastAsia="宋体"/>
          <w:sz w:val="24"/>
          <w:szCs w:val="24"/>
        </w:rPr>
      </w:pPr>
    </w:p>
    <w:p w:rsidR="0061360C" w:rsidRDefault="0061360C" w:rsidP="0061360C">
      <w:pPr>
        <w:spacing w:line="360" w:lineRule="auto"/>
        <w:rPr>
          <w:rFonts w:eastAsia="宋体"/>
          <w:sz w:val="24"/>
          <w:szCs w:val="24"/>
        </w:rPr>
      </w:pPr>
    </w:p>
    <w:p w:rsidR="0061360C" w:rsidRDefault="0061360C" w:rsidP="0061360C">
      <w:pPr>
        <w:spacing w:line="360" w:lineRule="auto"/>
        <w:rPr>
          <w:rFonts w:eastAsia="宋体"/>
          <w:sz w:val="24"/>
          <w:szCs w:val="24"/>
        </w:rPr>
      </w:pPr>
      <w:r w:rsidRPr="003D0FC4">
        <w:rPr>
          <w:rFonts w:ascii="等线" w:eastAsia="等线" w:hAnsi="等线" w:cs="Times New Roman" w:hint="eastAsia"/>
          <w:noProof/>
          <w:sz w:val="24"/>
          <w:szCs w:val="24"/>
        </w:rPr>
        <w:lastRenderedPageBreak/>
        <w:drawing>
          <wp:inline distT="0" distB="0" distL="114300" distR="114300" wp14:anchorId="16A66795" wp14:editId="08E081BE">
            <wp:extent cx="4896485" cy="3514725"/>
            <wp:effectExtent l="0" t="0" r="18415" b="9525"/>
            <wp:docPr id="7" name="图片 7" descr="图片8.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8.5_副本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648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0C" w:rsidRPr="004E31B2" w:rsidRDefault="0061360C" w:rsidP="0061360C">
      <w:pPr>
        <w:spacing w:line="500" w:lineRule="exact"/>
        <w:ind w:firstLineChars="200" w:firstLine="560"/>
        <w:rPr>
          <w:sz w:val="28"/>
          <w:szCs w:val="28"/>
        </w:rPr>
      </w:pPr>
    </w:p>
    <w:p w:rsidR="0061360C" w:rsidRPr="004E31B2" w:rsidRDefault="0061360C" w:rsidP="0061360C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</w:t>
      </w:r>
      <w:r w:rsidRPr="004E31B2">
        <w:rPr>
          <w:rFonts w:hint="eastAsia"/>
          <w:sz w:val="28"/>
          <w:szCs w:val="28"/>
        </w:rPr>
        <w:t>点击「学习考试」，可先通过「模拟考试」，反复练习题目，查缺补漏；在正式考试发布时间段，点击「正式考试」，完成该课程的最终检验。</w:t>
      </w:r>
    </w:p>
    <w:p w:rsidR="0061360C" w:rsidRPr="004E31B2" w:rsidRDefault="0061360C" w:rsidP="0061360C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点击「专题学习」，进入相关安全主题的学习，</w:t>
      </w:r>
      <w:r w:rsidRPr="004E31B2">
        <w:rPr>
          <w:rFonts w:hint="eastAsia"/>
          <w:sz w:val="28"/>
          <w:szCs w:val="28"/>
        </w:rPr>
        <w:t>此部分学习内容不做强制要求。</w:t>
      </w:r>
    </w:p>
    <w:p w:rsidR="0061360C" w:rsidRPr="004E31B2" w:rsidRDefault="0061360C" w:rsidP="0061360C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.</w:t>
      </w:r>
      <w:r w:rsidRPr="004E31B2">
        <w:rPr>
          <w:rFonts w:hint="eastAsia"/>
          <w:sz w:val="28"/>
          <w:szCs w:val="28"/>
        </w:rPr>
        <w:t>点击「电子学档」，可查看个人登陆信息、学习信息、考试信息，点击「消除错题」，完善答题情况。</w:t>
      </w:r>
    </w:p>
    <w:p w:rsidR="0061360C" w:rsidRDefault="0061360C" w:rsidP="0061360C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.</w:t>
      </w:r>
      <w:r w:rsidRPr="004E31B2">
        <w:rPr>
          <w:rFonts w:hint="eastAsia"/>
          <w:sz w:val="28"/>
          <w:szCs w:val="28"/>
        </w:rPr>
        <w:t>在规定的时间内，学生完成线上基础课程内容的学习，并通过正式考试后，会获得课程合格证书，代表顺利结课。</w:t>
      </w:r>
    </w:p>
    <w:p w:rsidR="0061360C" w:rsidRPr="004E31B2" w:rsidRDefault="0061360C" w:rsidP="0061360C">
      <w:pPr>
        <w:spacing w:line="500" w:lineRule="exact"/>
        <w:ind w:firstLineChars="200" w:firstLine="560"/>
        <w:rPr>
          <w:sz w:val="28"/>
          <w:szCs w:val="28"/>
        </w:rPr>
      </w:pPr>
    </w:p>
    <w:p w:rsidR="0061360C" w:rsidRDefault="0061360C" w:rsidP="0061360C">
      <w:pPr>
        <w:spacing w:line="500" w:lineRule="exact"/>
        <w:ind w:firstLineChars="200" w:firstLine="560"/>
        <w:rPr>
          <w:sz w:val="28"/>
          <w:szCs w:val="28"/>
        </w:rPr>
      </w:pPr>
    </w:p>
    <w:p w:rsidR="0061360C" w:rsidRDefault="0061360C" w:rsidP="0061360C">
      <w:pPr>
        <w:spacing w:line="500" w:lineRule="exact"/>
        <w:ind w:firstLineChars="200" w:firstLine="560"/>
        <w:rPr>
          <w:sz w:val="28"/>
          <w:szCs w:val="28"/>
        </w:rPr>
      </w:pPr>
    </w:p>
    <w:p w:rsidR="0061360C" w:rsidRDefault="0061360C" w:rsidP="0061360C">
      <w:pPr>
        <w:spacing w:line="500" w:lineRule="exact"/>
        <w:ind w:firstLineChars="200" w:firstLine="560"/>
        <w:rPr>
          <w:sz w:val="28"/>
          <w:szCs w:val="28"/>
        </w:rPr>
      </w:pPr>
    </w:p>
    <w:p w:rsidR="0061360C" w:rsidRDefault="0061360C" w:rsidP="0061360C">
      <w:pPr>
        <w:spacing w:line="500" w:lineRule="exact"/>
        <w:ind w:firstLineChars="200" w:firstLine="560"/>
        <w:rPr>
          <w:sz w:val="28"/>
          <w:szCs w:val="28"/>
        </w:rPr>
      </w:pPr>
    </w:p>
    <w:p w:rsidR="0061360C" w:rsidRDefault="0061360C" w:rsidP="0061360C">
      <w:pPr>
        <w:spacing w:line="500" w:lineRule="exact"/>
        <w:ind w:firstLineChars="200" w:firstLine="560"/>
        <w:rPr>
          <w:sz w:val="28"/>
          <w:szCs w:val="28"/>
        </w:rPr>
      </w:pPr>
    </w:p>
    <w:p w:rsidR="0061360C" w:rsidRDefault="0061360C" w:rsidP="0061360C">
      <w:pPr>
        <w:spacing w:line="500" w:lineRule="exact"/>
        <w:ind w:firstLineChars="200" w:firstLine="560"/>
        <w:rPr>
          <w:sz w:val="28"/>
          <w:szCs w:val="28"/>
        </w:rPr>
      </w:pPr>
    </w:p>
    <w:p w:rsidR="0061360C" w:rsidRDefault="0061360C" w:rsidP="00391680">
      <w:pPr>
        <w:spacing w:line="500" w:lineRule="exact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</w:p>
    <w:p w:rsidR="0061360C" w:rsidRDefault="0061360C" w:rsidP="0061360C">
      <w:pPr>
        <w:spacing w:line="500" w:lineRule="exact"/>
        <w:ind w:firstLineChars="200" w:firstLine="560"/>
        <w:rPr>
          <w:sz w:val="28"/>
          <w:szCs w:val="28"/>
        </w:rPr>
      </w:pPr>
    </w:p>
    <w:p w:rsidR="0061360C" w:rsidRPr="00A02E0C" w:rsidRDefault="0061360C" w:rsidP="0061360C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A02E0C">
        <w:rPr>
          <w:rFonts w:ascii="黑体" w:eastAsia="黑体" w:hAnsi="黑体" w:hint="eastAsia"/>
          <w:sz w:val="32"/>
          <w:szCs w:val="32"/>
        </w:rPr>
        <w:t>泰州学院2</w:t>
      </w:r>
      <w:r w:rsidRPr="00A02E0C">
        <w:rPr>
          <w:rFonts w:ascii="黑体" w:eastAsia="黑体" w:hAnsi="黑体"/>
          <w:sz w:val="32"/>
          <w:szCs w:val="32"/>
        </w:rPr>
        <w:t>020年秋学期学生</w:t>
      </w:r>
      <w:r w:rsidRPr="00A02E0C">
        <w:rPr>
          <w:rFonts w:ascii="黑体" w:eastAsia="黑体" w:hAnsi="黑体" w:hint="eastAsia"/>
          <w:sz w:val="32"/>
          <w:szCs w:val="32"/>
        </w:rPr>
        <w:t>安全教育学习计划表</w:t>
      </w:r>
    </w:p>
    <w:p w:rsidR="0061360C" w:rsidRPr="004E31B2" w:rsidRDefault="0061360C" w:rsidP="0061360C">
      <w:pPr>
        <w:spacing w:line="500" w:lineRule="exact"/>
        <w:ind w:firstLineChars="200" w:firstLine="560"/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4536"/>
        <w:gridCol w:w="2252"/>
      </w:tblGrid>
      <w:tr w:rsidR="0061360C" w:rsidRPr="004E31B2" w:rsidTr="00D02513">
        <w:trPr>
          <w:trHeight w:val="410"/>
          <w:jc w:val="center"/>
        </w:trPr>
        <w:tc>
          <w:tcPr>
            <w:tcW w:w="1167" w:type="dxa"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  <w:r w:rsidRPr="004E31B2">
              <w:rPr>
                <w:rFonts w:hint="eastAsia"/>
                <w:sz w:val="28"/>
                <w:szCs w:val="28"/>
              </w:rPr>
              <w:t>月份</w:t>
            </w:r>
          </w:p>
        </w:tc>
        <w:tc>
          <w:tcPr>
            <w:tcW w:w="4536" w:type="dxa"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  <w:r w:rsidRPr="004E31B2">
              <w:rPr>
                <w:rFonts w:hint="eastAsia"/>
                <w:sz w:val="28"/>
                <w:szCs w:val="28"/>
              </w:rPr>
              <w:t>安全教育课程</w:t>
            </w:r>
          </w:p>
        </w:tc>
        <w:tc>
          <w:tcPr>
            <w:tcW w:w="2252" w:type="dxa"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  <w:r w:rsidRPr="004E31B2">
              <w:rPr>
                <w:rFonts w:hint="eastAsia"/>
                <w:sz w:val="28"/>
                <w:szCs w:val="28"/>
              </w:rPr>
              <w:t>完成时间</w:t>
            </w:r>
          </w:p>
        </w:tc>
      </w:tr>
      <w:tr w:rsidR="0061360C" w:rsidRPr="004E31B2" w:rsidTr="00D02513">
        <w:trPr>
          <w:trHeight w:val="395"/>
          <w:jc w:val="center"/>
        </w:trPr>
        <w:tc>
          <w:tcPr>
            <w:tcW w:w="1167" w:type="dxa"/>
            <w:vMerge w:val="restart"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4536" w:type="dxa"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  <w:r w:rsidRPr="003F3850">
              <w:rPr>
                <w:rFonts w:hint="eastAsia"/>
                <w:sz w:val="28"/>
                <w:szCs w:val="28"/>
              </w:rPr>
              <w:t>第一章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F3850">
              <w:rPr>
                <w:rFonts w:hint="eastAsia"/>
                <w:sz w:val="28"/>
                <w:szCs w:val="28"/>
              </w:rPr>
              <w:t>国家安全</w:t>
            </w:r>
          </w:p>
        </w:tc>
        <w:tc>
          <w:tcPr>
            <w:tcW w:w="2252" w:type="dxa"/>
            <w:vMerge w:val="restart"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9.7-9.14</w:t>
            </w:r>
          </w:p>
        </w:tc>
      </w:tr>
      <w:tr w:rsidR="0061360C" w:rsidRPr="004E31B2" w:rsidTr="00D02513">
        <w:trPr>
          <w:trHeight w:val="410"/>
          <w:jc w:val="center"/>
        </w:trPr>
        <w:tc>
          <w:tcPr>
            <w:tcW w:w="1167" w:type="dxa"/>
            <w:vMerge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  <w:r w:rsidRPr="003F3850">
              <w:rPr>
                <w:rFonts w:hint="eastAsia"/>
                <w:sz w:val="28"/>
                <w:szCs w:val="28"/>
              </w:rPr>
              <w:t>第二章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F3850">
              <w:rPr>
                <w:rFonts w:hint="eastAsia"/>
                <w:sz w:val="28"/>
                <w:szCs w:val="28"/>
              </w:rPr>
              <w:t>不法侵害的预防与处置</w:t>
            </w:r>
          </w:p>
        </w:tc>
        <w:tc>
          <w:tcPr>
            <w:tcW w:w="2252" w:type="dxa"/>
            <w:vMerge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</w:p>
        </w:tc>
      </w:tr>
      <w:tr w:rsidR="0061360C" w:rsidRPr="004E31B2" w:rsidTr="00D02513">
        <w:trPr>
          <w:trHeight w:val="410"/>
          <w:jc w:val="center"/>
        </w:trPr>
        <w:tc>
          <w:tcPr>
            <w:tcW w:w="1167" w:type="dxa"/>
            <w:vMerge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  <w:r w:rsidRPr="003F3850">
              <w:rPr>
                <w:rFonts w:hint="eastAsia"/>
                <w:sz w:val="28"/>
                <w:szCs w:val="28"/>
              </w:rPr>
              <w:t>第三章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F3850">
              <w:rPr>
                <w:rFonts w:hint="eastAsia"/>
                <w:sz w:val="28"/>
                <w:szCs w:val="28"/>
              </w:rPr>
              <w:t>诈骗的知识与防范</w:t>
            </w:r>
          </w:p>
        </w:tc>
        <w:tc>
          <w:tcPr>
            <w:tcW w:w="2252" w:type="dxa"/>
            <w:vMerge w:val="restart"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9.15-9.22</w:t>
            </w:r>
          </w:p>
        </w:tc>
      </w:tr>
      <w:tr w:rsidR="0061360C" w:rsidRPr="004E31B2" w:rsidTr="00D02513">
        <w:trPr>
          <w:trHeight w:val="395"/>
          <w:jc w:val="center"/>
        </w:trPr>
        <w:tc>
          <w:tcPr>
            <w:tcW w:w="1167" w:type="dxa"/>
            <w:vMerge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  <w:r w:rsidRPr="00594F25">
              <w:rPr>
                <w:rFonts w:hint="eastAsia"/>
                <w:sz w:val="28"/>
                <w:szCs w:val="28"/>
              </w:rPr>
              <w:t>第四章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心</w:t>
            </w:r>
            <w:r w:rsidRPr="00594F25">
              <w:rPr>
                <w:rFonts w:hint="eastAsia"/>
                <w:sz w:val="28"/>
                <w:szCs w:val="28"/>
              </w:rPr>
              <w:t>理安全</w:t>
            </w:r>
          </w:p>
        </w:tc>
        <w:tc>
          <w:tcPr>
            <w:tcW w:w="2252" w:type="dxa"/>
            <w:vMerge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</w:p>
        </w:tc>
      </w:tr>
      <w:tr w:rsidR="0061360C" w:rsidRPr="004E31B2" w:rsidTr="00D02513">
        <w:trPr>
          <w:trHeight w:val="410"/>
          <w:jc w:val="center"/>
        </w:trPr>
        <w:tc>
          <w:tcPr>
            <w:tcW w:w="1167" w:type="dxa"/>
            <w:vMerge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  <w:r w:rsidRPr="00594F25">
              <w:rPr>
                <w:rFonts w:hint="eastAsia"/>
                <w:sz w:val="28"/>
                <w:szCs w:val="28"/>
              </w:rPr>
              <w:t>第五章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94F25">
              <w:rPr>
                <w:rFonts w:hint="eastAsia"/>
                <w:sz w:val="28"/>
                <w:szCs w:val="28"/>
              </w:rPr>
              <w:t>火灾事故的预防与处置</w:t>
            </w:r>
          </w:p>
        </w:tc>
        <w:tc>
          <w:tcPr>
            <w:tcW w:w="2252" w:type="dxa"/>
            <w:vMerge w:val="restart"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9.23-9.30</w:t>
            </w:r>
          </w:p>
        </w:tc>
      </w:tr>
      <w:tr w:rsidR="0061360C" w:rsidRPr="004E31B2" w:rsidTr="00D02513">
        <w:trPr>
          <w:trHeight w:val="410"/>
          <w:jc w:val="center"/>
        </w:trPr>
        <w:tc>
          <w:tcPr>
            <w:tcW w:w="1167" w:type="dxa"/>
            <w:vMerge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  <w:r w:rsidRPr="00594F25">
              <w:rPr>
                <w:rFonts w:hint="eastAsia"/>
                <w:sz w:val="28"/>
                <w:szCs w:val="28"/>
              </w:rPr>
              <w:t>第六章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94F25">
              <w:rPr>
                <w:rFonts w:hint="eastAsia"/>
                <w:sz w:val="28"/>
                <w:szCs w:val="28"/>
              </w:rPr>
              <w:t>交通事故的预防与处置</w:t>
            </w:r>
          </w:p>
        </w:tc>
        <w:tc>
          <w:tcPr>
            <w:tcW w:w="2252" w:type="dxa"/>
            <w:vMerge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</w:p>
        </w:tc>
      </w:tr>
      <w:tr w:rsidR="0061360C" w:rsidRPr="004E31B2" w:rsidTr="00D02513">
        <w:trPr>
          <w:trHeight w:val="410"/>
          <w:jc w:val="center"/>
        </w:trPr>
        <w:tc>
          <w:tcPr>
            <w:tcW w:w="1167" w:type="dxa"/>
            <w:vMerge w:val="restart"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4536" w:type="dxa"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  <w:r w:rsidRPr="00594F25">
              <w:rPr>
                <w:rFonts w:hint="eastAsia"/>
                <w:sz w:val="28"/>
                <w:szCs w:val="28"/>
              </w:rPr>
              <w:t>第八章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94F25">
              <w:rPr>
                <w:rFonts w:hint="eastAsia"/>
                <w:sz w:val="28"/>
                <w:szCs w:val="28"/>
              </w:rPr>
              <w:t>网络侵害的防范与处置</w:t>
            </w:r>
          </w:p>
        </w:tc>
        <w:tc>
          <w:tcPr>
            <w:tcW w:w="2252" w:type="dxa"/>
            <w:vAlign w:val="center"/>
          </w:tcPr>
          <w:p w:rsidR="0061360C" w:rsidRPr="00594F25" w:rsidRDefault="0061360C" w:rsidP="00D0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10.1-10.8</w:t>
            </w:r>
          </w:p>
        </w:tc>
      </w:tr>
      <w:tr w:rsidR="0061360C" w:rsidRPr="004E31B2" w:rsidTr="00D02513">
        <w:trPr>
          <w:trHeight w:val="410"/>
          <w:jc w:val="center"/>
        </w:trPr>
        <w:tc>
          <w:tcPr>
            <w:tcW w:w="1167" w:type="dxa"/>
            <w:vMerge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新生安全专题</w:t>
            </w:r>
          </w:p>
        </w:tc>
        <w:tc>
          <w:tcPr>
            <w:tcW w:w="2252" w:type="dxa"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10.9-10.17</w:t>
            </w:r>
          </w:p>
        </w:tc>
      </w:tr>
      <w:tr w:rsidR="0061360C" w:rsidRPr="004E31B2" w:rsidTr="00D02513">
        <w:trPr>
          <w:trHeight w:val="395"/>
          <w:jc w:val="center"/>
        </w:trPr>
        <w:tc>
          <w:tcPr>
            <w:tcW w:w="1167" w:type="dxa"/>
            <w:vMerge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  <w:r w:rsidRPr="00594F25">
              <w:rPr>
                <w:rFonts w:hint="eastAsia"/>
                <w:sz w:val="28"/>
                <w:szCs w:val="28"/>
              </w:rPr>
              <w:t>第九章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94F25">
              <w:rPr>
                <w:rFonts w:hint="eastAsia"/>
                <w:sz w:val="28"/>
                <w:szCs w:val="28"/>
              </w:rPr>
              <w:t>意外事故和自然灾害</w:t>
            </w:r>
          </w:p>
        </w:tc>
        <w:tc>
          <w:tcPr>
            <w:tcW w:w="2252" w:type="dxa"/>
            <w:vMerge w:val="restart"/>
            <w:vAlign w:val="center"/>
          </w:tcPr>
          <w:p w:rsidR="0061360C" w:rsidRPr="00594F25" w:rsidRDefault="0061360C" w:rsidP="00D0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10.18-10.31</w:t>
            </w:r>
          </w:p>
        </w:tc>
      </w:tr>
      <w:tr w:rsidR="0061360C" w:rsidRPr="004E31B2" w:rsidTr="00D02513">
        <w:trPr>
          <w:trHeight w:val="427"/>
          <w:jc w:val="center"/>
        </w:trPr>
        <w:tc>
          <w:tcPr>
            <w:tcW w:w="1167" w:type="dxa"/>
            <w:vMerge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  <w:r w:rsidRPr="0000097C">
              <w:rPr>
                <w:rFonts w:hint="eastAsia"/>
                <w:sz w:val="28"/>
                <w:szCs w:val="28"/>
              </w:rPr>
              <w:t>第十章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0097C">
              <w:rPr>
                <w:rFonts w:hint="eastAsia"/>
                <w:sz w:val="28"/>
                <w:szCs w:val="28"/>
              </w:rPr>
              <w:t>食物中毒、传染疾病和猝死</w:t>
            </w:r>
          </w:p>
        </w:tc>
        <w:tc>
          <w:tcPr>
            <w:tcW w:w="2252" w:type="dxa"/>
            <w:vMerge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</w:p>
        </w:tc>
      </w:tr>
      <w:tr w:rsidR="0061360C" w:rsidRPr="004E31B2" w:rsidTr="00D02513">
        <w:trPr>
          <w:trHeight w:val="427"/>
          <w:jc w:val="center"/>
        </w:trPr>
        <w:tc>
          <w:tcPr>
            <w:tcW w:w="1167" w:type="dxa"/>
            <w:vMerge w:val="restart"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4536" w:type="dxa"/>
            <w:vAlign w:val="center"/>
          </w:tcPr>
          <w:p w:rsidR="0061360C" w:rsidRPr="0000097C" w:rsidRDefault="0061360C" w:rsidP="00D02513">
            <w:pPr>
              <w:jc w:val="center"/>
              <w:rPr>
                <w:sz w:val="28"/>
                <w:szCs w:val="28"/>
              </w:rPr>
            </w:pPr>
            <w:r w:rsidRPr="0000097C">
              <w:rPr>
                <w:rFonts w:hint="eastAsia"/>
                <w:sz w:val="28"/>
                <w:szCs w:val="28"/>
              </w:rPr>
              <w:t>第十一章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0097C">
              <w:rPr>
                <w:rFonts w:hint="eastAsia"/>
                <w:sz w:val="28"/>
                <w:szCs w:val="28"/>
              </w:rPr>
              <w:t>学生人身伤害事故处理</w:t>
            </w:r>
          </w:p>
        </w:tc>
        <w:tc>
          <w:tcPr>
            <w:tcW w:w="2252" w:type="dxa"/>
            <w:vMerge w:val="restart"/>
            <w:vAlign w:val="center"/>
          </w:tcPr>
          <w:p w:rsidR="0061360C" w:rsidRPr="0000097C" w:rsidRDefault="0061360C" w:rsidP="00D0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11.1-11.8</w:t>
            </w:r>
          </w:p>
        </w:tc>
      </w:tr>
      <w:tr w:rsidR="0061360C" w:rsidRPr="004E31B2" w:rsidTr="00D02513">
        <w:trPr>
          <w:trHeight w:val="427"/>
          <w:jc w:val="center"/>
        </w:trPr>
        <w:tc>
          <w:tcPr>
            <w:tcW w:w="1167" w:type="dxa"/>
            <w:vMerge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1360C" w:rsidRPr="0000097C" w:rsidRDefault="0061360C" w:rsidP="00D02513">
            <w:pPr>
              <w:jc w:val="center"/>
              <w:rPr>
                <w:sz w:val="28"/>
                <w:szCs w:val="28"/>
              </w:rPr>
            </w:pPr>
            <w:r w:rsidRPr="0000097C">
              <w:rPr>
                <w:rFonts w:hint="eastAsia"/>
                <w:sz w:val="28"/>
                <w:szCs w:val="28"/>
              </w:rPr>
              <w:t>第十二章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0097C">
              <w:rPr>
                <w:rFonts w:hint="eastAsia"/>
                <w:sz w:val="28"/>
                <w:szCs w:val="28"/>
              </w:rPr>
              <w:t>实验室安全</w:t>
            </w:r>
          </w:p>
        </w:tc>
        <w:tc>
          <w:tcPr>
            <w:tcW w:w="2252" w:type="dxa"/>
            <w:vMerge/>
            <w:vAlign w:val="center"/>
          </w:tcPr>
          <w:p w:rsidR="0061360C" w:rsidRDefault="0061360C" w:rsidP="00D02513">
            <w:pPr>
              <w:jc w:val="center"/>
              <w:rPr>
                <w:sz w:val="28"/>
                <w:szCs w:val="28"/>
              </w:rPr>
            </w:pPr>
          </w:p>
        </w:tc>
      </w:tr>
      <w:tr w:rsidR="0061360C" w:rsidRPr="004E31B2" w:rsidTr="00D02513">
        <w:trPr>
          <w:trHeight w:val="427"/>
          <w:jc w:val="center"/>
        </w:trPr>
        <w:tc>
          <w:tcPr>
            <w:tcW w:w="1167" w:type="dxa"/>
            <w:vMerge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1360C" w:rsidRPr="0000097C" w:rsidRDefault="0061360C" w:rsidP="00D02513">
            <w:pPr>
              <w:jc w:val="center"/>
              <w:rPr>
                <w:sz w:val="28"/>
                <w:szCs w:val="28"/>
              </w:rPr>
            </w:pPr>
            <w:r w:rsidRPr="0000097C">
              <w:rPr>
                <w:rFonts w:hint="eastAsia"/>
                <w:sz w:val="28"/>
                <w:szCs w:val="28"/>
              </w:rPr>
              <w:t>第十三章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0097C">
              <w:rPr>
                <w:rFonts w:hint="eastAsia"/>
                <w:sz w:val="28"/>
                <w:szCs w:val="28"/>
              </w:rPr>
              <w:t>防疫健康教育</w:t>
            </w:r>
          </w:p>
        </w:tc>
        <w:tc>
          <w:tcPr>
            <w:tcW w:w="2252" w:type="dxa"/>
            <w:vAlign w:val="center"/>
          </w:tcPr>
          <w:p w:rsidR="0061360C" w:rsidRPr="0000097C" w:rsidRDefault="0061360C" w:rsidP="00D0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11.9-11.16</w:t>
            </w:r>
          </w:p>
        </w:tc>
      </w:tr>
      <w:tr w:rsidR="0061360C" w:rsidRPr="004E31B2" w:rsidTr="00D02513">
        <w:trPr>
          <w:trHeight w:val="427"/>
          <w:jc w:val="center"/>
        </w:trPr>
        <w:tc>
          <w:tcPr>
            <w:tcW w:w="1167" w:type="dxa"/>
            <w:vMerge/>
            <w:vAlign w:val="center"/>
          </w:tcPr>
          <w:p w:rsidR="0061360C" w:rsidRPr="004E31B2" w:rsidRDefault="0061360C" w:rsidP="00D02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1360C" w:rsidRPr="0000097C" w:rsidRDefault="0061360C" w:rsidP="00D02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</w:t>
            </w:r>
          </w:p>
        </w:tc>
        <w:tc>
          <w:tcPr>
            <w:tcW w:w="2252" w:type="dxa"/>
            <w:vAlign w:val="center"/>
          </w:tcPr>
          <w:p w:rsidR="0061360C" w:rsidRDefault="0061360C" w:rsidP="00D0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11.17-11</w:t>
            </w:r>
            <w:r>
              <w:rPr>
                <w:rFonts w:hint="eastAsia"/>
                <w:sz w:val="28"/>
                <w:szCs w:val="28"/>
              </w:rPr>
              <w:t>.30</w:t>
            </w:r>
          </w:p>
        </w:tc>
      </w:tr>
    </w:tbl>
    <w:p w:rsidR="00AC1CFC" w:rsidRPr="00F312E6" w:rsidRDefault="00AC1CFC" w:rsidP="0061360C"/>
    <w:sectPr w:rsidR="00AC1CFC" w:rsidRPr="00F312E6" w:rsidSect="00F312E6">
      <w:pgSz w:w="11906" w:h="16838"/>
      <w:pgMar w:top="1191" w:right="1588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82" w:rsidRDefault="00BB1982" w:rsidP="00F312E6">
      <w:r>
        <w:separator/>
      </w:r>
    </w:p>
  </w:endnote>
  <w:endnote w:type="continuationSeparator" w:id="0">
    <w:p w:rsidR="00BB1982" w:rsidRDefault="00BB1982" w:rsidP="00F3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82" w:rsidRDefault="00BB1982" w:rsidP="00F312E6">
      <w:r>
        <w:separator/>
      </w:r>
    </w:p>
  </w:footnote>
  <w:footnote w:type="continuationSeparator" w:id="0">
    <w:p w:rsidR="00BB1982" w:rsidRDefault="00BB1982" w:rsidP="00F3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11"/>
    <w:rsid w:val="00101178"/>
    <w:rsid w:val="002723C5"/>
    <w:rsid w:val="00287097"/>
    <w:rsid w:val="00353339"/>
    <w:rsid w:val="00391680"/>
    <w:rsid w:val="00394811"/>
    <w:rsid w:val="004E3A19"/>
    <w:rsid w:val="005E2D0A"/>
    <w:rsid w:val="0061360C"/>
    <w:rsid w:val="00A27D1D"/>
    <w:rsid w:val="00AC1CFC"/>
    <w:rsid w:val="00B75471"/>
    <w:rsid w:val="00BB1982"/>
    <w:rsid w:val="00E45051"/>
    <w:rsid w:val="00F312E6"/>
    <w:rsid w:val="00F5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2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12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12E6"/>
    <w:rPr>
      <w:sz w:val="18"/>
      <w:szCs w:val="18"/>
    </w:rPr>
  </w:style>
  <w:style w:type="table" w:styleId="a6">
    <w:name w:val="Table Grid"/>
    <w:basedOn w:val="a1"/>
    <w:uiPriority w:val="59"/>
    <w:rsid w:val="00613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2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12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12E6"/>
    <w:rPr>
      <w:sz w:val="18"/>
      <w:szCs w:val="18"/>
    </w:rPr>
  </w:style>
  <w:style w:type="table" w:styleId="a6">
    <w:name w:val="Table Grid"/>
    <w:basedOn w:val="a1"/>
    <w:uiPriority w:val="59"/>
    <w:rsid w:val="00613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7</cp:revision>
  <dcterms:created xsi:type="dcterms:W3CDTF">2020-09-01T00:53:00Z</dcterms:created>
  <dcterms:modified xsi:type="dcterms:W3CDTF">2020-09-09T08:09:00Z</dcterms:modified>
</cp:coreProperties>
</file>